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84" w:rsidRDefault="0075707A">
      <w:pPr>
        <w:pStyle w:val="a5"/>
        <w:tabs>
          <w:tab w:val="left" w:pos="4538"/>
          <w:tab w:val="center" w:pos="4819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2590919</wp:posOffset>
            </wp:positionH>
            <wp:positionV relativeFrom="paragraph">
              <wp:posOffset>-111240</wp:posOffset>
            </wp:positionV>
            <wp:extent cx="938520" cy="720719"/>
            <wp:effectExtent l="0" t="0" r="0" b="3181"/>
            <wp:wrapSquare wrapText="bothSides"/>
            <wp:docPr id="1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520" cy="72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266084" w:rsidRDefault="00266084">
      <w:pPr>
        <w:pStyle w:val="Bibliography1"/>
        <w:jc w:val="center"/>
        <w:rPr>
          <w:color w:val="000000"/>
          <w:sz w:val="26"/>
          <w:szCs w:val="26"/>
        </w:rPr>
      </w:pPr>
    </w:p>
    <w:p w:rsidR="00266084" w:rsidRDefault="00266084">
      <w:pPr>
        <w:pStyle w:val="Bibliography1"/>
        <w:jc w:val="center"/>
        <w:rPr>
          <w:color w:val="000000"/>
          <w:sz w:val="26"/>
          <w:szCs w:val="26"/>
        </w:rPr>
      </w:pPr>
    </w:p>
    <w:p w:rsidR="00266084" w:rsidRDefault="00266084">
      <w:pPr>
        <w:pStyle w:val="Standard"/>
        <w:jc w:val="center"/>
        <w:rPr>
          <w:color w:val="000000"/>
          <w:sz w:val="26"/>
          <w:szCs w:val="26"/>
        </w:rPr>
      </w:pPr>
    </w:p>
    <w:p w:rsidR="00266084" w:rsidRDefault="0075707A">
      <w:pPr>
        <w:pStyle w:val="1"/>
        <w:spacing w:line="240" w:lineRule="auto"/>
      </w:pPr>
      <w:r>
        <w:rPr>
          <w:color w:val="000000"/>
          <w:spacing w:val="-2"/>
          <w:szCs w:val="38"/>
        </w:rPr>
        <w:t xml:space="preserve">ГУБЕРНАТОР  </w:t>
      </w:r>
      <w:r>
        <w:rPr>
          <w:color w:val="000000"/>
          <w:szCs w:val="38"/>
        </w:rPr>
        <w:t>ТЮМЕНСКОЙ</w:t>
      </w:r>
      <w:r>
        <w:rPr>
          <w:color w:val="000000"/>
          <w:spacing w:val="-2"/>
          <w:szCs w:val="38"/>
        </w:rPr>
        <w:t xml:space="preserve">  </w:t>
      </w:r>
      <w:r>
        <w:rPr>
          <w:color w:val="000000"/>
          <w:szCs w:val="38"/>
        </w:rPr>
        <w:t>ОБЛАСТИ</w:t>
      </w:r>
    </w:p>
    <w:p w:rsidR="00266084" w:rsidRDefault="00266084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266084" w:rsidRDefault="0075707A">
      <w:pPr>
        <w:pStyle w:val="2"/>
        <w:rPr>
          <w:color w:val="000000"/>
          <w:sz w:val="38"/>
        </w:rPr>
      </w:pPr>
      <w:r>
        <w:rPr>
          <w:color w:val="000000"/>
          <w:sz w:val="38"/>
        </w:rPr>
        <w:t>РАСПОРЯЖЕНИЕ</w:t>
      </w:r>
    </w:p>
    <w:p w:rsidR="00266084" w:rsidRDefault="0075707A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</w:p>
    <w:tbl>
      <w:tblPr>
        <w:tblW w:w="9525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5115"/>
        <w:gridCol w:w="1455"/>
      </w:tblGrid>
      <w:tr w:rsidR="00266084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084" w:rsidRDefault="0075707A">
            <w:pPr>
              <w:pStyle w:val="Standard"/>
              <w:snapToGrid w:val="0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30 июня 2021 г.</w:t>
            </w:r>
          </w:p>
        </w:tc>
        <w:tc>
          <w:tcPr>
            <w:tcW w:w="51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084" w:rsidRDefault="0075707A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№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084" w:rsidRDefault="0075707A">
            <w:pPr>
              <w:pStyle w:val="Standard"/>
              <w:snapToGrid w:val="0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71-р</w:t>
            </w:r>
          </w:p>
        </w:tc>
      </w:tr>
    </w:tbl>
    <w:p w:rsidR="00266084" w:rsidRDefault="0075707A">
      <w:pPr>
        <w:pStyle w:val="Standard"/>
        <w:spacing w:line="48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г. Тюмень</w:t>
      </w:r>
    </w:p>
    <w:tbl>
      <w:tblPr>
        <w:tblW w:w="9474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3804"/>
      </w:tblGrid>
      <w:tr w:rsidR="00266084">
        <w:tblPrEx>
          <w:tblCellMar>
            <w:top w:w="0" w:type="dxa"/>
            <w:bottom w:w="0" w:type="dxa"/>
          </w:tblCellMar>
        </w:tblPrEx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084" w:rsidRDefault="0075707A">
            <w:pPr>
              <w:pStyle w:val="Standard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 утверждении перечня потребителей, которые отнесены к категориям потребителей электрической энергии (мощности), ограничение режима</w:t>
            </w:r>
          </w:p>
          <w:p w:rsidR="00266084" w:rsidRDefault="0075707A">
            <w:pPr>
              <w:pStyle w:val="Standard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потребления электрической </w:t>
            </w:r>
            <w:proofErr w:type="gramStart"/>
            <w:r>
              <w:rPr>
                <w:i/>
                <w:iCs/>
                <w:sz w:val="26"/>
                <w:szCs w:val="26"/>
              </w:rPr>
              <w:t>энергии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i/>
                <w:iCs/>
                <w:sz w:val="26"/>
                <w:szCs w:val="26"/>
              </w:rPr>
              <w:t xml:space="preserve">которых может </w:t>
            </w:r>
            <w:r>
              <w:rPr>
                <w:i/>
                <w:iCs/>
                <w:sz w:val="26"/>
                <w:szCs w:val="26"/>
              </w:rPr>
              <w:t>привести к экономическим, экологическим, социальным последствиям</w:t>
            </w:r>
          </w:p>
        </w:tc>
        <w:tc>
          <w:tcPr>
            <w:tcW w:w="38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6084" w:rsidRDefault="00266084">
            <w:pPr>
              <w:pStyle w:val="Standard"/>
              <w:snapToGrid w:val="0"/>
              <w:rPr>
                <w:i/>
              </w:rPr>
            </w:pPr>
          </w:p>
        </w:tc>
      </w:tr>
    </w:tbl>
    <w:p w:rsidR="00266084" w:rsidRDefault="00266084">
      <w:pPr>
        <w:pStyle w:val="Standard"/>
        <w:jc w:val="both"/>
        <w:rPr>
          <w:rFonts w:cs="Times New Roman"/>
          <w:sz w:val="26"/>
          <w:lang w:eastAsia="ru-RU"/>
        </w:rPr>
      </w:pPr>
    </w:p>
    <w:p w:rsidR="00266084" w:rsidRDefault="00266084">
      <w:pPr>
        <w:pStyle w:val="Bibliography1"/>
        <w:jc w:val="both"/>
        <w:rPr>
          <w:rFonts w:cs="Times New Roman"/>
          <w:sz w:val="26"/>
          <w:lang w:eastAsia="ru-RU"/>
        </w:rPr>
      </w:pPr>
    </w:p>
    <w:p w:rsidR="00266084" w:rsidRDefault="0075707A">
      <w:pPr>
        <w:pStyle w:val="Standard"/>
        <w:spacing w:after="113"/>
        <w:ind w:firstLine="709"/>
        <w:jc w:val="both"/>
      </w:pPr>
      <w:r>
        <w:rPr>
          <w:sz w:val="26"/>
        </w:rPr>
        <w:t>В целях реализации полномочий, предусмотренных постановлением Правительства Российской Федерации от 04.05.2012 № 442</w:t>
      </w:r>
      <w:r>
        <w:rPr>
          <w:sz w:val="26"/>
        </w:rPr>
        <w:br/>
      </w:r>
      <w:r>
        <w:rPr>
          <w:sz w:val="26"/>
        </w:rPr>
        <w:t xml:space="preserve">«О функционировании розничных рынков электрической энергии, полном и </w:t>
      </w:r>
      <w:r>
        <w:rPr>
          <w:sz w:val="26"/>
        </w:rPr>
        <w:t>(или) частичном ограничении режима потребления электрической энергии»:</w:t>
      </w:r>
    </w:p>
    <w:p w:rsidR="00266084" w:rsidRDefault="0075707A">
      <w:pPr>
        <w:pStyle w:val="Standard"/>
        <w:spacing w:after="113"/>
        <w:ind w:firstLine="709"/>
        <w:jc w:val="both"/>
        <w:rPr>
          <w:sz w:val="26"/>
        </w:rPr>
      </w:pPr>
      <w:r>
        <w:rPr>
          <w:sz w:val="26"/>
        </w:rPr>
        <w:t>1. Утвердить перечень потребителей, которые отнесены к категориям потребителей электрической энергии (мощности), ограничение режима потребления электрической энергии которых может приве</w:t>
      </w:r>
      <w:r>
        <w:rPr>
          <w:sz w:val="26"/>
        </w:rPr>
        <w:t>сти</w:t>
      </w:r>
      <w:r>
        <w:rPr>
          <w:sz w:val="26"/>
        </w:rPr>
        <w:br/>
      </w:r>
      <w:r>
        <w:rPr>
          <w:sz w:val="26"/>
        </w:rPr>
        <w:t>к экономическим, экологическим, социальным последствиям, согласно приложению к настоящему распоряжению.</w:t>
      </w:r>
    </w:p>
    <w:p w:rsidR="00266084" w:rsidRDefault="0075707A">
      <w:pPr>
        <w:pStyle w:val="Standard"/>
        <w:spacing w:after="113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>Департаменту жилищно-коммунального хозяйства Тюменской области в течение 10 рабочих дней со дня утверждения разместить перечень потребителей, кот</w:t>
      </w:r>
      <w:r>
        <w:rPr>
          <w:sz w:val="26"/>
        </w:rPr>
        <w:t>орые отнесены к категориям потребителей электрической энергии (мощности), ограничение режима потребления электрической энергии которых может привести к экономическим, экологическим, социальным последствиям, на Официальном портале органов государственной вл</w:t>
      </w:r>
      <w:r>
        <w:rPr>
          <w:sz w:val="26"/>
        </w:rPr>
        <w:t>асти Тюменской области.</w:t>
      </w:r>
      <w:proofErr w:type="gramEnd"/>
    </w:p>
    <w:p w:rsidR="00266084" w:rsidRDefault="0075707A">
      <w:pPr>
        <w:pStyle w:val="Standard"/>
        <w:spacing w:after="113"/>
        <w:ind w:firstLine="709"/>
        <w:jc w:val="both"/>
      </w:pPr>
      <w:r>
        <w:rPr>
          <w:sz w:val="26"/>
        </w:rPr>
        <w:t>3. Признать утратившим силу распоряжение Губернатора Тюменской области от 30.06.2020 № 51-р «</w:t>
      </w:r>
      <w:r>
        <w:rPr>
          <w:sz w:val="26"/>
          <w:szCs w:val="26"/>
        </w:rPr>
        <w:t>Об утверждении перечня потребителей, которые отнесены к категориям потребителей электрической энергии (мощности), ограничение режима потреб</w:t>
      </w:r>
      <w:r>
        <w:rPr>
          <w:sz w:val="26"/>
          <w:szCs w:val="26"/>
        </w:rPr>
        <w:t>ления электрической энергии которых может привести к экономическим, экологическим, социальным последствиям».</w:t>
      </w:r>
    </w:p>
    <w:p w:rsidR="00266084" w:rsidRDefault="0075707A">
      <w:pPr>
        <w:pStyle w:val="Standard"/>
        <w:suppressLineNumbers/>
        <w:tabs>
          <w:tab w:val="right" w:leader="dot" w:pos="96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на заместителя Губернатора Тюменской области, координирующего и контролирующего деятел</w:t>
      </w:r>
      <w:r>
        <w:rPr>
          <w:sz w:val="26"/>
          <w:szCs w:val="26"/>
        </w:rPr>
        <w:t>ьность Департамента жилищно-коммунального хозяйства Тюменской области.</w:t>
      </w:r>
    </w:p>
    <w:p w:rsidR="00266084" w:rsidRDefault="00266084">
      <w:pPr>
        <w:pStyle w:val="Bibliography1"/>
        <w:ind w:firstLine="709"/>
        <w:jc w:val="both"/>
        <w:rPr>
          <w:sz w:val="26"/>
          <w:szCs w:val="26"/>
        </w:rPr>
      </w:pPr>
    </w:p>
    <w:p w:rsidR="00266084" w:rsidRDefault="00266084">
      <w:pPr>
        <w:pStyle w:val="Bibliography1"/>
        <w:ind w:firstLine="709"/>
        <w:jc w:val="both"/>
        <w:rPr>
          <w:sz w:val="26"/>
          <w:szCs w:val="26"/>
        </w:rPr>
      </w:pPr>
    </w:p>
    <w:p w:rsidR="00266084" w:rsidRDefault="0075707A">
      <w:pPr>
        <w:pStyle w:val="Standard"/>
        <w:suppressLineNumbers/>
        <w:tabs>
          <w:tab w:val="right" w:leader="dot" w:pos="9638"/>
        </w:tabs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b/>
          <w:sz w:val="28"/>
          <w:szCs w:val="28"/>
        </w:rPr>
        <w:t>Моор</w:t>
      </w:r>
      <w:proofErr w:type="spellEnd"/>
    </w:p>
    <w:sectPr w:rsidR="00266084">
      <w:headerReference w:type="default" r:id="rId8"/>
      <w:footerReference w:type="first" r:id="rId9"/>
      <w:pgSz w:w="11906" w:h="16838"/>
      <w:pgMar w:top="850" w:right="567" w:bottom="131" w:left="1701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7A" w:rsidRDefault="0075707A">
      <w:r>
        <w:separator/>
      </w:r>
    </w:p>
  </w:endnote>
  <w:endnote w:type="continuationSeparator" w:id="0">
    <w:p w:rsidR="0075707A" w:rsidRDefault="0075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96" w:rsidRDefault="0075707A">
    <w:pPr>
      <w:pStyle w:val="a6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Приложение </w:t>
    </w:r>
    <w:proofErr w:type="spellStart"/>
    <w:proofErr w:type="gramStart"/>
    <w:r>
      <w:rPr>
        <w:sz w:val="16"/>
        <w:szCs w:val="16"/>
      </w:rPr>
      <w:t>Приложение</w:t>
    </w:r>
    <w:proofErr w:type="spellEnd"/>
    <w:proofErr w:type="gramEnd"/>
    <w:r>
      <w:rPr>
        <w:sz w:val="16"/>
        <w:szCs w:val="16"/>
      </w:rPr>
      <w:t xml:space="preserve"> 3. Распоряжение Губернатора №71-р от 30.06.2021 к </w:t>
    </w:r>
    <w:proofErr w:type="spellStart"/>
    <w:r>
      <w:rPr>
        <w:sz w:val="16"/>
        <w:szCs w:val="16"/>
      </w:rPr>
      <w:t>вх</w:t>
    </w:r>
    <w:proofErr w:type="spellEnd"/>
    <w:r>
      <w:rPr>
        <w:sz w:val="16"/>
        <w:szCs w:val="16"/>
      </w:rPr>
      <w:t xml:space="preserve">. письмо </w:t>
    </w:r>
    <w:proofErr w:type="gramStart"/>
    <w:r>
      <w:rPr>
        <w:sz w:val="16"/>
        <w:szCs w:val="16"/>
      </w:rPr>
      <w:t>от</w:t>
    </w:r>
    <w:proofErr w:type="gramEnd"/>
    <w:r>
      <w:rPr>
        <w:sz w:val="16"/>
        <w:szCs w:val="16"/>
      </w:rPr>
      <w:t xml:space="preserve"> Аппарат_(5959856)_.</w:t>
    </w:r>
    <w:proofErr w:type="spellStart"/>
    <w:r>
      <w:rPr>
        <w:sz w:val="16"/>
        <w:szCs w:val="16"/>
      </w:rPr>
      <w:t>odt</w:t>
    </w:r>
    <w:proofErr w:type="spellEnd"/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7A" w:rsidRDefault="0075707A">
      <w:r>
        <w:rPr>
          <w:color w:val="000000"/>
        </w:rPr>
        <w:separator/>
      </w:r>
    </w:p>
  </w:footnote>
  <w:footnote w:type="continuationSeparator" w:id="0">
    <w:p w:rsidR="0075707A" w:rsidRDefault="0075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96" w:rsidRDefault="0075707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71B96" w:rsidRDefault="0075707A">
    <w:pPr>
      <w:pStyle w:val="a5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084"/>
    <w:rsid w:val="00266084"/>
    <w:rsid w:val="0075707A"/>
    <w:rsid w:val="00B63B18"/>
    <w:rsid w:val="00E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eastAsia="Arial" w:hAnsi="Arial" w:cs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Framecontents">
    <w:name w:val="Frame contents"/>
    <w:basedOn w:val="Standard"/>
  </w:style>
  <w:style w:type="paragraph" w:customStyle="1" w:styleId="xl80">
    <w:name w:val="xl80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9">
    <w:name w:val="xl89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0">
    <w:name w:val="xl90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eastAsia="Arial" w:hAnsi="Arial" w:cs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pPr>
      <w:suppressAutoHyphens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Framecontents">
    <w:name w:val="Frame contents"/>
    <w:basedOn w:val="Standard"/>
  </w:style>
  <w:style w:type="paragraph" w:customStyle="1" w:styleId="xl80">
    <w:name w:val="xl80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pPr>
      <w:widowControl/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9">
    <w:name w:val="xl89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0">
    <w:name w:val="xl90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eastAsia="Times New Roman"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pPr>
      <w:widowControl/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WebAccessAgentCache/RX/pto/adm72_AfanasevaEYa/temp/&#1055;&#1088;&#1080;&#1083;&#1086;&#1078;&#1077;&#1085;&#1080;&#1077;%20&#1055;&#1088;&#1080;&#1083;&#1086;&#1078;&#1077;&#1085;&#1080;&#1077;%203.%20&#1056;&#1072;&#1089;&#1087;&#1086;&#1088;&#1103;&#1078;&#1077;&#1085;&#1080;&#1077;%20&#1043;&#1091;&#1073;&#1077;&#1088;&#1085;&#1072;&#1090;&#1086;&#1088;&#1072;%20&#8470;71-&#1088;%20&#1086;&#1090;%2030.06.2021%20&#1082;%20&#1074;&#1093;.%20&#1087;&#1080;&#1089;&#1100;&#1084;&#1086;%20&#1086;&#1090;%20&#1040;&#1087;&#1087;&#1072;&#1088;&#1072;&#1090;_(5959856)_.odt/&#1055;&#1056;-1565_20_%20&#1044;&#1046;&#1050;&#1061;%20&#1054;&#1073;%20&#1091;&#1090;&#1074;&#1077;&#1088;&#1078;&#1076;&#1077;&#1085;&#1080;&#1080;%20&#1087;&#1077;&#1088;&#1077;&#1095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ПР-1565_20_%20ДЖКХ%20Об%20утверждении%20перечн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04.05.2012 N 442(ред. от 30.04.2020)"О функционировании розничных рынков электрической энергии, полном и (или) частичном ограничении режима потребления электрической энергии"(вместе с "Основными положениями функционирован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04.05.2012 N 442(ред. от 30.04.2020)"О функционировании розничных рынков электрической энергии, полном и (или) частичном ограничении режима потребления электрической энергии"(вместе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энергии")(с изм. и доп., вступ. в силу с 01.07.2020)</dc:title>
  <dc:creator>ZheltovaYuM</dc:creator>
  <cp:lastModifiedBy>Admin</cp:lastModifiedBy>
  <cp:revision>2</cp:revision>
  <cp:lastPrinted>2020-07-02T17:28:00Z</cp:lastPrinted>
  <dcterms:created xsi:type="dcterms:W3CDTF">2021-07-09T12:06:00Z</dcterms:created>
  <dcterms:modified xsi:type="dcterms:W3CDTF">2021-07-09T12:06:00Z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